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049" w:rsidRPr="006A3772" w:rsidRDefault="006A3772" w:rsidP="006A3772">
      <w:pPr>
        <w:spacing w:after="0" w:line="240" w:lineRule="auto"/>
        <w:jc w:val="center"/>
        <w:rPr>
          <w:rFonts w:ascii="Arial" w:hAnsi="Arial" w:cs="Arial"/>
          <w:b/>
          <w:color w:val="17365D" w:themeColor="text2" w:themeShade="BF"/>
          <w:sz w:val="24"/>
        </w:rPr>
      </w:pPr>
      <w:r w:rsidRPr="006A3772">
        <w:rPr>
          <w:rFonts w:ascii="Arial" w:hAnsi="Arial" w:cs="Arial"/>
          <w:b/>
          <w:color w:val="17365D" w:themeColor="text2" w:themeShade="BF"/>
          <w:sz w:val="24"/>
        </w:rPr>
        <w:t>¿CÓMO VALORAR COMPETENCIAS EN LUGAR DE EVALUAR CONOCIMIENTOS?</w:t>
      </w:r>
    </w:p>
    <w:p w:rsidR="006A3772" w:rsidRPr="006A3772" w:rsidRDefault="006A3772" w:rsidP="006A3772">
      <w:pPr>
        <w:spacing w:after="0" w:line="240" w:lineRule="auto"/>
        <w:jc w:val="center"/>
        <w:rPr>
          <w:rFonts w:ascii="Arial" w:hAnsi="Arial" w:cs="Arial"/>
          <w:b/>
          <w:sz w:val="24"/>
        </w:rPr>
      </w:pPr>
    </w:p>
    <w:p w:rsidR="006A3772" w:rsidRDefault="006A3772" w:rsidP="00444ABA">
      <w:pPr>
        <w:spacing w:after="0" w:line="240" w:lineRule="auto"/>
        <w:jc w:val="center"/>
        <w:rPr>
          <w:rFonts w:ascii="Arial" w:hAnsi="Arial" w:cs="Arial"/>
          <w:color w:val="000000"/>
        </w:rPr>
      </w:pPr>
      <w:r>
        <w:rPr>
          <w:rFonts w:ascii="Arial" w:hAnsi="Arial" w:cs="Arial"/>
          <w:color w:val="000000"/>
        </w:rPr>
        <w:t>Alvaro Grisales A.</w:t>
      </w:r>
    </w:p>
    <w:p w:rsidR="006A3772" w:rsidRDefault="00FE0178" w:rsidP="00FE0178">
      <w:pPr>
        <w:pStyle w:val="NormalWeb"/>
        <w:spacing w:before="0" w:beforeAutospacing="0" w:after="0" w:afterAutospacing="0"/>
        <w:ind w:left="540"/>
        <w:jc w:val="right"/>
        <w:rPr>
          <w:rFonts w:ascii="Arial" w:hAnsi="Arial" w:cs="Arial"/>
          <w:color w:val="000000"/>
        </w:rPr>
      </w:pPr>
      <w:r>
        <w:rPr>
          <w:rFonts w:ascii="Arial" w:hAnsi="Arial" w:cs="Arial"/>
          <w:noProof/>
          <w:color w:val="000000"/>
        </w:rPr>
        <w:drawing>
          <wp:inline distT="0" distB="0" distL="0" distR="0">
            <wp:extent cx="1117460" cy="393651"/>
            <wp:effectExtent l="19050" t="0" r="6490" b="0"/>
            <wp:docPr id="3" name="2 Imagen" descr="cc-by-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by-sa.png"/>
                    <pic:cNvPicPr/>
                  </pic:nvPicPr>
                  <pic:blipFill>
                    <a:blip r:embed="rId7"/>
                    <a:stretch>
                      <a:fillRect/>
                    </a:stretch>
                  </pic:blipFill>
                  <pic:spPr>
                    <a:xfrm>
                      <a:off x="0" y="0"/>
                      <a:ext cx="1117460" cy="393651"/>
                    </a:xfrm>
                    <a:prstGeom prst="rect">
                      <a:avLst/>
                    </a:prstGeom>
                  </pic:spPr>
                </pic:pic>
              </a:graphicData>
            </a:graphic>
          </wp:inline>
        </w:drawing>
      </w:r>
    </w:p>
    <w:p w:rsidR="006A3772" w:rsidRDefault="006A3772" w:rsidP="006A3772">
      <w:pPr>
        <w:pStyle w:val="NormalWeb"/>
        <w:spacing w:before="0" w:beforeAutospacing="0" w:after="0" w:afterAutospacing="0"/>
        <w:ind w:left="540"/>
        <w:jc w:val="both"/>
        <w:rPr>
          <w:rFonts w:ascii="Arial" w:hAnsi="Arial" w:cs="Arial"/>
          <w:color w:val="000000"/>
        </w:rPr>
      </w:pPr>
    </w:p>
    <w:p w:rsidR="00CD7049" w:rsidRDefault="00CD7049" w:rsidP="00CD7049">
      <w:pPr>
        <w:pStyle w:val="NormalWeb"/>
        <w:spacing w:before="0" w:beforeAutospacing="0" w:after="0" w:afterAutospacing="0"/>
        <w:ind w:left="540"/>
        <w:jc w:val="both"/>
        <w:rPr>
          <w:rFonts w:ascii="Arial" w:hAnsi="Arial" w:cs="Arial"/>
          <w:color w:val="000000"/>
        </w:rPr>
      </w:pPr>
      <w:r>
        <w:rPr>
          <w:rFonts w:ascii="Arial" w:hAnsi="Arial" w:cs="Arial"/>
          <w:color w:val="000000"/>
        </w:rPr>
        <w:t>En la actualidad el aprendizaje se basa en el caos, las redes, la complejidad, la auto organización, la diversidad de opiniones. "El modelo de aprendizaje para la era digital" (Siemens), en donde el punto de partida es el individuo y el conocimiento personal se compone de una red que provee este aprendizaje. Los ambientes virtuales se convierten entonces en recursos para planificar las acciones formativas. </w:t>
      </w:r>
    </w:p>
    <w:p w:rsidR="00CD7049" w:rsidRDefault="00CD7049" w:rsidP="00CD7049">
      <w:pPr>
        <w:pStyle w:val="NormalWeb"/>
        <w:spacing w:before="0" w:beforeAutospacing="0" w:after="0" w:afterAutospacing="0"/>
        <w:jc w:val="both"/>
        <w:rPr>
          <w:rFonts w:ascii="Arial" w:hAnsi="Arial" w:cs="Arial"/>
          <w:sz w:val="22"/>
          <w:szCs w:val="22"/>
        </w:rPr>
      </w:pPr>
    </w:p>
    <w:p w:rsidR="00CD7049" w:rsidRDefault="00CD7049" w:rsidP="00CD7049">
      <w:pPr>
        <w:pStyle w:val="NormalWeb"/>
        <w:spacing w:before="0" w:beforeAutospacing="0" w:after="0" w:afterAutospacing="0"/>
        <w:ind w:left="540"/>
        <w:jc w:val="both"/>
        <w:rPr>
          <w:rFonts w:ascii="Arial" w:hAnsi="Arial" w:cs="Arial"/>
        </w:rPr>
      </w:pPr>
      <w:r>
        <w:rPr>
          <w:rFonts w:ascii="Arial" w:hAnsi="Arial" w:cs="Arial"/>
        </w:rPr>
        <w:t>Es preciso desarrollar, por tanto,  contextos de aprendizaje diferentes puesto que “las teorías tradicionales del conocimiento fueron desarrolladas en una época en la que el aprendizaje no había sido impactado por la tecnología”. El nuevo aprendizaje puede residir en dispositivos no humanos. La máquina entonces cobra protagonismo: “el aprendizaje de las máquinas conectadas con las personas” (Siemens).</w:t>
      </w:r>
      <w:r>
        <w:rPr>
          <w:rFonts w:ascii="Arial" w:hAnsi="Arial" w:cs="Arial"/>
          <w:color w:val="000000"/>
        </w:rPr>
        <w:t xml:space="preserve"> </w:t>
      </w:r>
      <w:r>
        <w:rPr>
          <w:rFonts w:ascii="Arial" w:hAnsi="Arial" w:cs="Arial"/>
        </w:rPr>
        <w:t> </w:t>
      </w:r>
    </w:p>
    <w:p w:rsidR="00CD7049" w:rsidRDefault="00CD7049" w:rsidP="00CD7049">
      <w:pPr>
        <w:pStyle w:val="NormalWeb"/>
        <w:spacing w:before="0" w:beforeAutospacing="0" w:after="0" w:afterAutospacing="0"/>
        <w:jc w:val="both"/>
        <w:rPr>
          <w:rFonts w:ascii="Arial" w:hAnsi="Arial" w:cs="Arial"/>
          <w:sz w:val="22"/>
          <w:szCs w:val="22"/>
        </w:rPr>
      </w:pPr>
    </w:p>
    <w:p w:rsidR="00CD7049" w:rsidRDefault="00CD7049" w:rsidP="00CD7049">
      <w:pPr>
        <w:pStyle w:val="NormalWeb"/>
        <w:spacing w:before="0" w:beforeAutospacing="0" w:after="0" w:afterAutospacing="0"/>
        <w:ind w:left="540"/>
        <w:jc w:val="both"/>
        <w:rPr>
          <w:rFonts w:ascii="Arial" w:hAnsi="Arial" w:cs="Arial"/>
        </w:rPr>
      </w:pPr>
      <w:r>
        <w:rPr>
          <w:rFonts w:ascii="Arial" w:hAnsi="Arial" w:cs="Arial"/>
        </w:rPr>
        <w:t xml:space="preserve">Se observa entonces que en este paradigma es más significativa la acción del alumno que la del docente (Castaño, 2009) lo cual  impone una nueva forma en la  evaluación de las habilidades desarrolladas. En consecuencia el contexto exige un cambio de actitud -una nueva alfabetización- y ante todo, comprender que mediante el uso de las TIC en los procesos de aprendizaje no se consigue aprender más o mejor sino que se aprende de forma diferente. (Bartolomé, 2004). Algunos lo llaman “e-learning 2.0” (Downes, 2006) a partir del estudiante como constructor activo de significados en vez de un consumidor pasivo. </w:t>
      </w:r>
    </w:p>
    <w:p w:rsidR="001E7D81" w:rsidRDefault="001E7D81" w:rsidP="00CD7049">
      <w:pPr>
        <w:pStyle w:val="NormalWeb"/>
        <w:spacing w:before="0" w:beforeAutospacing="0" w:after="0" w:afterAutospacing="0"/>
        <w:ind w:left="540"/>
        <w:jc w:val="both"/>
        <w:rPr>
          <w:rFonts w:ascii="Arial" w:hAnsi="Arial" w:cs="Arial"/>
        </w:rPr>
      </w:pPr>
    </w:p>
    <w:p w:rsidR="00725DAE" w:rsidRDefault="001E7D81" w:rsidP="00CD7049">
      <w:pPr>
        <w:pStyle w:val="NormalWeb"/>
        <w:spacing w:before="0" w:beforeAutospacing="0" w:after="0" w:afterAutospacing="0"/>
        <w:ind w:left="540"/>
        <w:jc w:val="both"/>
        <w:rPr>
          <w:rFonts w:ascii="Arial" w:hAnsi="Arial" w:cs="Arial"/>
        </w:rPr>
      </w:pPr>
      <w:r>
        <w:rPr>
          <w:rFonts w:ascii="Arial" w:hAnsi="Arial" w:cs="Arial"/>
        </w:rPr>
        <w:t>En un mapa conceptual se detalla a continuación los detalles de la estrategia propuesta par</w:t>
      </w:r>
      <w:r w:rsidR="00725DAE">
        <w:rPr>
          <w:rFonts w:ascii="Arial" w:hAnsi="Arial" w:cs="Arial"/>
        </w:rPr>
        <w:t>a una evaluación cen</w:t>
      </w:r>
      <w:r w:rsidR="00CB4579">
        <w:rPr>
          <w:rFonts w:ascii="Arial" w:hAnsi="Arial" w:cs="Arial"/>
        </w:rPr>
        <w:t xml:space="preserve">trada en logros y competencias </w:t>
      </w:r>
      <w:r w:rsidR="00725DAE">
        <w:rPr>
          <w:rFonts w:ascii="Arial" w:hAnsi="Arial" w:cs="Arial"/>
        </w:rPr>
        <w:t xml:space="preserve"> en donde –según lo expuesto por el profesor Ripoll</w:t>
      </w:r>
      <w:r w:rsidR="00CB4579">
        <w:rPr>
          <w:rFonts w:ascii="Arial" w:hAnsi="Arial" w:cs="Arial"/>
        </w:rPr>
        <w:t xml:space="preserve"> </w:t>
      </w:r>
      <w:r w:rsidR="00CB4579">
        <w:rPr>
          <w:rStyle w:val="Refdenotaalpie"/>
          <w:rFonts w:ascii="Arial" w:hAnsi="Arial" w:cs="Arial"/>
        </w:rPr>
        <w:footnoteReference w:id="2"/>
      </w:r>
      <w:r w:rsidR="00725DAE">
        <w:rPr>
          <w:rFonts w:ascii="Arial" w:hAnsi="Arial" w:cs="Arial"/>
        </w:rPr>
        <w:t xml:space="preserve">- hay que tener en cuenta </w:t>
      </w:r>
      <w:r w:rsidR="00041A0B">
        <w:rPr>
          <w:rFonts w:ascii="Arial" w:hAnsi="Arial" w:cs="Arial"/>
        </w:rPr>
        <w:t>al usar internet en procesos de aprendizaje:</w:t>
      </w:r>
      <w:r w:rsidR="00725DAE">
        <w:rPr>
          <w:rFonts w:ascii="Arial" w:hAnsi="Arial" w:cs="Arial"/>
        </w:rPr>
        <w:t xml:space="preserve"> cuánto del trabajo es del alumno</w:t>
      </w:r>
      <w:r w:rsidR="00041A0B">
        <w:rPr>
          <w:rFonts w:ascii="Arial" w:hAnsi="Arial" w:cs="Arial"/>
        </w:rPr>
        <w:t xml:space="preserve"> y cuá</w:t>
      </w:r>
      <w:r w:rsidR="00725DAE">
        <w:rPr>
          <w:rFonts w:ascii="Arial" w:hAnsi="Arial" w:cs="Arial"/>
        </w:rPr>
        <w:t>nto de la</w:t>
      </w:r>
      <w:r w:rsidR="00EE26A9">
        <w:rPr>
          <w:rFonts w:ascii="Arial" w:hAnsi="Arial" w:cs="Arial"/>
        </w:rPr>
        <w:t xml:space="preserve"> máquina</w:t>
      </w:r>
      <w:r w:rsidR="00725DAE">
        <w:rPr>
          <w:rFonts w:ascii="Arial" w:hAnsi="Arial" w:cs="Arial"/>
        </w:rPr>
        <w:t>. En otras palabras, cuánto de la ortografí</w:t>
      </w:r>
      <w:r w:rsidR="00F658CB">
        <w:rPr>
          <w:rFonts w:ascii="Arial" w:hAnsi="Arial" w:cs="Arial"/>
        </w:rPr>
        <w:t>a es mía y cuánto</w:t>
      </w:r>
      <w:r w:rsidR="00725DAE">
        <w:rPr>
          <w:rFonts w:ascii="Arial" w:hAnsi="Arial" w:cs="Arial"/>
        </w:rPr>
        <w:t xml:space="preserve"> del editor de texto. </w:t>
      </w:r>
    </w:p>
    <w:p w:rsidR="00725DAE" w:rsidRDefault="00725DAE" w:rsidP="00CD7049">
      <w:pPr>
        <w:pStyle w:val="NormalWeb"/>
        <w:spacing w:before="0" w:beforeAutospacing="0" w:after="0" w:afterAutospacing="0"/>
        <w:ind w:left="540"/>
        <w:jc w:val="both"/>
        <w:rPr>
          <w:rFonts w:ascii="Arial" w:hAnsi="Arial" w:cs="Arial"/>
        </w:rPr>
      </w:pPr>
    </w:p>
    <w:p w:rsidR="00725DAE" w:rsidRDefault="00725DAE" w:rsidP="00CD7049">
      <w:pPr>
        <w:pStyle w:val="NormalWeb"/>
        <w:spacing w:before="0" w:beforeAutospacing="0" w:after="0" w:afterAutospacing="0"/>
        <w:ind w:left="540"/>
        <w:jc w:val="both"/>
        <w:rPr>
          <w:rFonts w:ascii="Arial" w:hAnsi="Arial" w:cs="Arial"/>
        </w:rPr>
      </w:pPr>
      <w:r>
        <w:rPr>
          <w:rFonts w:ascii="Arial" w:hAnsi="Arial" w:cs="Arial"/>
        </w:rPr>
        <w:t xml:space="preserve">Del mismo modo, tratándose ya no </w:t>
      </w:r>
      <w:r w:rsidR="009B6189">
        <w:rPr>
          <w:rFonts w:ascii="Arial" w:hAnsi="Arial" w:cs="Arial"/>
        </w:rPr>
        <w:t>de memorizar contenidos, sino de saber qué hacer con ellos, la evaluación hoy, centrada en el estudiante, apunta a tres competencias fundamentales:</w:t>
      </w:r>
      <w:r w:rsidR="00C347DD">
        <w:rPr>
          <w:rFonts w:ascii="Arial" w:hAnsi="Arial" w:cs="Arial"/>
        </w:rPr>
        <w:t xml:space="preserve"> buscar, administrar y apropiar</w:t>
      </w:r>
      <w:r w:rsidR="009B6189">
        <w:rPr>
          <w:rFonts w:ascii="Arial" w:hAnsi="Arial" w:cs="Arial"/>
        </w:rPr>
        <w:t xml:space="preserve"> información.</w:t>
      </w:r>
    </w:p>
    <w:p w:rsidR="005C1327" w:rsidRDefault="005C1327" w:rsidP="00CD7049">
      <w:pPr>
        <w:pStyle w:val="NormalWeb"/>
        <w:spacing w:before="0" w:beforeAutospacing="0" w:after="0" w:afterAutospacing="0"/>
        <w:ind w:left="540"/>
        <w:jc w:val="both"/>
        <w:rPr>
          <w:rFonts w:ascii="Arial" w:hAnsi="Arial" w:cs="Arial"/>
        </w:rPr>
      </w:pPr>
    </w:p>
    <w:p w:rsidR="005C1327" w:rsidRDefault="005C1327" w:rsidP="00CD7049">
      <w:pPr>
        <w:pStyle w:val="NormalWeb"/>
        <w:spacing w:before="0" w:beforeAutospacing="0" w:after="0" w:afterAutospacing="0"/>
        <w:ind w:left="540"/>
        <w:jc w:val="both"/>
        <w:rPr>
          <w:rFonts w:ascii="Arial" w:hAnsi="Arial" w:cs="Arial"/>
        </w:rPr>
      </w:pPr>
      <w:r>
        <w:rPr>
          <w:rFonts w:ascii="Arial" w:hAnsi="Arial" w:cs="Arial"/>
          <w:noProof/>
        </w:rPr>
        <w:lastRenderedPageBreak/>
        <w:drawing>
          <wp:inline distT="0" distB="0" distL="0" distR="0">
            <wp:extent cx="5612130" cy="5001895"/>
            <wp:effectExtent l="19050" t="19050" r="26670" b="27305"/>
            <wp:docPr id="2" name="1 Imagen" descr="Tarea Módulo de Evaluació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rea Módulo de Evaluación.jpg"/>
                    <pic:cNvPicPr/>
                  </pic:nvPicPr>
                  <pic:blipFill>
                    <a:blip r:embed="rId8" cstate="print"/>
                    <a:stretch>
                      <a:fillRect/>
                    </a:stretch>
                  </pic:blipFill>
                  <pic:spPr>
                    <a:xfrm>
                      <a:off x="0" y="0"/>
                      <a:ext cx="5612130" cy="5001895"/>
                    </a:xfrm>
                    <a:prstGeom prst="rect">
                      <a:avLst/>
                    </a:prstGeom>
                    <a:ln>
                      <a:solidFill>
                        <a:schemeClr val="accent1">
                          <a:alpha val="47000"/>
                        </a:schemeClr>
                      </a:solidFill>
                    </a:ln>
                  </pic:spPr>
                </pic:pic>
              </a:graphicData>
            </a:graphic>
          </wp:inline>
        </w:drawing>
      </w:r>
    </w:p>
    <w:p w:rsidR="00CD7049" w:rsidRDefault="00CD7049" w:rsidP="00CD7049">
      <w:pPr>
        <w:pStyle w:val="NormalWeb"/>
        <w:spacing w:before="0" w:beforeAutospacing="0" w:after="0" w:afterAutospacing="0"/>
        <w:ind w:left="540"/>
        <w:jc w:val="both"/>
        <w:rPr>
          <w:rFonts w:ascii="Arial" w:hAnsi="Arial" w:cs="Arial"/>
        </w:rPr>
      </w:pPr>
    </w:p>
    <w:p w:rsidR="00022B9A" w:rsidRDefault="00022B9A" w:rsidP="00CD7049">
      <w:pPr>
        <w:jc w:val="both"/>
      </w:pPr>
    </w:p>
    <w:p w:rsidR="00CD7049" w:rsidRDefault="00CD7049" w:rsidP="00CD7049">
      <w:pPr>
        <w:jc w:val="both"/>
      </w:pPr>
      <w:r>
        <w:t>Bibliografía</w:t>
      </w:r>
    </w:p>
    <w:p w:rsidR="00CD7049" w:rsidRPr="00CD7049" w:rsidRDefault="00CD7049" w:rsidP="00CD7049">
      <w:pPr>
        <w:spacing w:after="0" w:line="240" w:lineRule="auto"/>
        <w:jc w:val="both"/>
      </w:pPr>
      <w:r w:rsidRPr="00CD7049">
        <w:t>Castillo, Sandra. (2008). Propuesta pedagógica basada en el constructivismo Para el uso óptimo de las TIC en la enseñanza y el Aprendizaje de la matemática. Revista latinoamericana de investigación en matemática educativa, año 1, vol 11, numero 002. México, df. Pp 171-194</w:t>
      </w:r>
    </w:p>
    <w:p w:rsidR="00CD7049" w:rsidRPr="00CD7049" w:rsidRDefault="00CD7049" w:rsidP="00CD7049">
      <w:pPr>
        <w:spacing w:after="0" w:line="240" w:lineRule="auto"/>
        <w:jc w:val="both"/>
      </w:pPr>
    </w:p>
    <w:p w:rsidR="00CD7049" w:rsidRPr="00CD7049" w:rsidRDefault="00CD7049" w:rsidP="00CD7049">
      <w:pPr>
        <w:spacing w:after="0" w:line="240" w:lineRule="auto"/>
        <w:jc w:val="both"/>
      </w:pPr>
      <w:r w:rsidRPr="00CD7049">
        <w:t>Psicología el Aprendizaje Cognitivo. (2008). Material de estudio. Especialización en Docencia Universitaria. Universidad El Bosque. Bogotá.</w:t>
      </w:r>
    </w:p>
    <w:p w:rsidR="00CD7049" w:rsidRPr="00CD7049" w:rsidRDefault="00CD7049" w:rsidP="00CD7049">
      <w:pPr>
        <w:spacing w:after="0" w:line="240" w:lineRule="auto"/>
        <w:jc w:val="both"/>
      </w:pPr>
      <w:r w:rsidRPr="00CD7049">
        <w:br/>
        <w:t xml:space="preserve">Conectivismo. (2009) Curso Web 2.0 para docentes. Unab. Modulo “Conexión 2”. </w:t>
      </w:r>
    </w:p>
    <w:p w:rsidR="00CD7049" w:rsidRPr="00CD7049" w:rsidRDefault="00CD7049" w:rsidP="00CD7049">
      <w:pPr>
        <w:spacing w:after="0" w:line="240" w:lineRule="auto"/>
        <w:jc w:val="both"/>
      </w:pPr>
      <w:r w:rsidRPr="00CD7049">
        <w:br/>
        <w:t xml:space="preserve">Castaño Garrido, Carlos (2009). Enseñanza y aprendizaje en entornos E-learning en mundos virtuales centrados en el alumno. Grupo de tecnología educativa. Proyecto de investigación ea2008-0118. Ministerio de educación. Universidad de Sevilla. España. </w:t>
      </w:r>
    </w:p>
    <w:p w:rsidR="00CD7049" w:rsidRPr="00CD7049" w:rsidRDefault="00CD7049" w:rsidP="00CD7049">
      <w:pPr>
        <w:spacing w:after="0" w:line="240" w:lineRule="auto"/>
        <w:jc w:val="both"/>
      </w:pPr>
      <w:r w:rsidRPr="00CD7049">
        <w:lastRenderedPageBreak/>
        <w:br/>
        <w:t xml:space="preserve">Siemens, George. (2007). Conectivismo: Una teoría de aprendizaje para la era digital. Traducción: Diego E. Leal Fonseca. </w:t>
      </w:r>
    </w:p>
    <w:p w:rsidR="00CD7049" w:rsidRPr="00CD7049" w:rsidRDefault="00CD7049" w:rsidP="00CD7049">
      <w:pPr>
        <w:spacing w:after="0" w:line="240" w:lineRule="auto"/>
        <w:jc w:val="both"/>
      </w:pPr>
      <w:r w:rsidRPr="00CD7049">
        <w:br/>
        <w:t>Tobón Tobón, Sergio. (2004). Formación basada en competencias. Bogotá: ECOE.</w:t>
      </w:r>
    </w:p>
    <w:p w:rsidR="00CD7049" w:rsidRDefault="00CD7049" w:rsidP="00CD7049">
      <w:pPr>
        <w:spacing w:after="0"/>
        <w:jc w:val="both"/>
      </w:pPr>
    </w:p>
    <w:p w:rsidR="00DC78F3" w:rsidRPr="00CD7049" w:rsidRDefault="00DC78F3" w:rsidP="00CD7049">
      <w:pPr>
        <w:spacing w:after="0"/>
        <w:jc w:val="both"/>
      </w:pPr>
      <w:r>
        <w:rPr>
          <w:noProof/>
          <w:lang w:eastAsia="es-CO"/>
        </w:rPr>
        <w:drawing>
          <wp:inline distT="0" distB="0" distL="0" distR="0">
            <wp:extent cx="5612130" cy="828637"/>
            <wp:effectExtent l="1905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612130" cy="828637"/>
                    </a:xfrm>
                    <a:prstGeom prst="rect">
                      <a:avLst/>
                    </a:prstGeom>
                    <a:noFill/>
                    <a:ln w="9525">
                      <a:noFill/>
                      <a:miter lim="800000"/>
                      <a:headEnd/>
                      <a:tailEnd/>
                    </a:ln>
                  </pic:spPr>
                </pic:pic>
              </a:graphicData>
            </a:graphic>
          </wp:inline>
        </w:drawing>
      </w:r>
    </w:p>
    <w:sectPr w:rsidR="00DC78F3" w:rsidRPr="00CD7049" w:rsidSect="00022B9A">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27F3" w:rsidRDefault="000C27F3" w:rsidP="00CB4579">
      <w:pPr>
        <w:spacing w:after="0" w:line="240" w:lineRule="auto"/>
      </w:pPr>
      <w:r>
        <w:separator/>
      </w:r>
    </w:p>
  </w:endnote>
  <w:endnote w:type="continuationSeparator" w:id="1">
    <w:p w:rsidR="000C27F3" w:rsidRDefault="000C27F3" w:rsidP="00CB45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27F3" w:rsidRDefault="000C27F3" w:rsidP="00CB4579">
      <w:pPr>
        <w:spacing w:after="0" w:line="240" w:lineRule="auto"/>
      </w:pPr>
      <w:r>
        <w:separator/>
      </w:r>
    </w:p>
  </w:footnote>
  <w:footnote w:type="continuationSeparator" w:id="1">
    <w:p w:rsidR="000C27F3" w:rsidRDefault="000C27F3" w:rsidP="00CB4579">
      <w:pPr>
        <w:spacing w:after="0" w:line="240" w:lineRule="auto"/>
      </w:pPr>
      <w:r>
        <w:continuationSeparator/>
      </w:r>
    </w:p>
  </w:footnote>
  <w:footnote w:id="2">
    <w:p w:rsidR="00CB4579" w:rsidRDefault="00CB4579">
      <w:pPr>
        <w:pStyle w:val="Textonotapie"/>
      </w:pPr>
      <w:r>
        <w:rPr>
          <w:rStyle w:val="Refdenotaalpie"/>
        </w:rPr>
        <w:footnoteRef/>
      </w:r>
      <w:r>
        <w:t xml:space="preserve"> Ver: </w:t>
      </w:r>
      <w:hyperlink r:id="rId1" w:history="1">
        <w:r>
          <w:rPr>
            <w:rStyle w:val="Hipervnculo"/>
          </w:rPr>
          <w:t>http://www.youtube.com/watch?v=q5oWehKI-gQ&amp;feature=related</w:t>
        </w:r>
      </w:hyperlink>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CD7049"/>
    <w:rsid w:val="000012D5"/>
    <w:rsid w:val="000161E5"/>
    <w:rsid w:val="00022B9A"/>
    <w:rsid w:val="00041A0B"/>
    <w:rsid w:val="000815FF"/>
    <w:rsid w:val="000A2F00"/>
    <w:rsid w:val="000B13DF"/>
    <w:rsid w:val="000C27F3"/>
    <w:rsid w:val="000E0A18"/>
    <w:rsid w:val="001030F7"/>
    <w:rsid w:val="00120485"/>
    <w:rsid w:val="00124C7E"/>
    <w:rsid w:val="001274E0"/>
    <w:rsid w:val="001305F5"/>
    <w:rsid w:val="00154DA4"/>
    <w:rsid w:val="00157DE6"/>
    <w:rsid w:val="00173C8F"/>
    <w:rsid w:val="001A2675"/>
    <w:rsid w:val="001A48EF"/>
    <w:rsid w:val="001B2450"/>
    <w:rsid w:val="001B36B9"/>
    <w:rsid w:val="001E7D81"/>
    <w:rsid w:val="0029678B"/>
    <w:rsid w:val="002E097E"/>
    <w:rsid w:val="00327216"/>
    <w:rsid w:val="00327952"/>
    <w:rsid w:val="00385777"/>
    <w:rsid w:val="00390B2B"/>
    <w:rsid w:val="003B3160"/>
    <w:rsid w:val="00416AE3"/>
    <w:rsid w:val="00421912"/>
    <w:rsid w:val="00444ABA"/>
    <w:rsid w:val="0048755A"/>
    <w:rsid w:val="004A3E61"/>
    <w:rsid w:val="004E77D1"/>
    <w:rsid w:val="005027E0"/>
    <w:rsid w:val="0050305D"/>
    <w:rsid w:val="0055387C"/>
    <w:rsid w:val="00581EE3"/>
    <w:rsid w:val="005A469F"/>
    <w:rsid w:val="005C1327"/>
    <w:rsid w:val="005F12BE"/>
    <w:rsid w:val="0062796D"/>
    <w:rsid w:val="00640E5B"/>
    <w:rsid w:val="00682BCB"/>
    <w:rsid w:val="006A3772"/>
    <w:rsid w:val="006A7A9A"/>
    <w:rsid w:val="006B78A1"/>
    <w:rsid w:val="00703BC4"/>
    <w:rsid w:val="00707CCC"/>
    <w:rsid w:val="007153AA"/>
    <w:rsid w:val="00725DAE"/>
    <w:rsid w:val="007352DA"/>
    <w:rsid w:val="0075530B"/>
    <w:rsid w:val="007758C5"/>
    <w:rsid w:val="00777003"/>
    <w:rsid w:val="00781A87"/>
    <w:rsid w:val="007941AE"/>
    <w:rsid w:val="00797CE5"/>
    <w:rsid w:val="007C4A6F"/>
    <w:rsid w:val="007D1E9B"/>
    <w:rsid w:val="00804D99"/>
    <w:rsid w:val="00830F47"/>
    <w:rsid w:val="00850F1F"/>
    <w:rsid w:val="008843E2"/>
    <w:rsid w:val="00891D4E"/>
    <w:rsid w:val="00892FD9"/>
    <w:rsid w:val="008A7C95"/>
    <w:rsid w:val="009205C4"/>
    <w:rsid w:val="00934B74"/>
    <w:rsid w:val="00935B8B"/>
    <w:rsid w:val="00943718"/>
    <w:rsid w:val="0095687C"/>
    <w:rsid w:val="00963756"/>
    <w:rsid w:val="009A2103"/>
    <w:rsid w:val="009B3796"/>
    <w:rsid w:val="009B6189"/>
    <w:rsid w:val="009D2FB0"/>
    <w:rsid w:val="009D6609"/>
    <w:rsid w:val="00A075B0"/>
    <w:rsid w:val="00A10DAE"/>
    <w:rsid w:val="00A24BBB"/>
    <w:rsid w:val="00A5030E"/>
    <w:rsid w:val="00A65C73"/>
    <w:rsid w:val="00A7145A"/>
    <w:rsid w:val="00A821C0"/>
    <w:rsid w:val="00AB67F5"/>
    <w:rsid w:val="00AC63A5"/>
    <w:rsid w:val="00B52FDA"/>
    <w:rsid w:val="00B81B2C"/>
    <w:rsid w:val="00B879EE"/>
    <w:rsid w:val="00B969E6"/>
    <w:rsid w:val="00BB1603"/>
    <w:rsid w:val="00BD1D1F"/>
    <w:rsid w:val="00BF23C8"/>
    <w:rsid w:val="00C347DD"/>
    <w:rsid w:val="00C501D9"/>
    <w:rsid w:val="00CB4579"/>
    <w:rsid w:val="00CB6A7B"/>
    <w:rsid w:val="00CD0387"/>
    <w:rsid w:val="00CD7049"/>
    <w:rsid w:val="00CE10B2"/>
    <w:rsid w:val="00CE2FBF"/>
    <w:rsid w:val="00CF142E"/>
    <w:rsid w:val="00D62CE2"/>
    <w:rsid w:val="00D972E9"/>
    <w:rsid w:val="00DB7029"/>
    <w:rsid w:val="00DC78F3"/>
    <w:rsid w:val="00E02857"/>
    <w:rsid w:val="00E500FC"/>
    <w:rsid w:val="00E65A8C"/>
    <w:rsid w:val="00E92551"/>
    <w:rsid w:val="00EC7649"/>
    <w:rsid w:val="00ED4600"/>
    <w:rsid w:val="00EE26A9"/>
    <w:rsid w:val="00EE2E00"/>
    <w:rsid w:val="00F01297"/>
    <w:rsid w:val="00F077EB"/>
    <w:rsid w:val="00F51D69"/>
    <w:rsid w:val="00F658CB"/>
    <w:rsid w:val="00F75A74"/>
    <w:rsid w:val="00FB4DEA"/>
    <w:rsid w:val="00FD4A22"/>
    <w:rsid w:val="00FE0178"/>
    <w:rsid w:val="00FE3384"/>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B9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CD7049"/>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deglobo">
    <w:name w:val="Balloon Text"/>
    <w:basedOn w:val="Normal"/>
    <w:link w:val="TextodegloboCar"/>
    <w:uiPriority w:val="99"/>
    <w:semiHidden/>
    <w:unhideWhenUsed/>
    <w:rsid w:val="00CD704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D7049"/>
    <w:rPr>
      <w:rFonts w:ascii="Tahoma" w:hAnsi="Tahoma" w:cs="Tahoma"/>
      <w:sz w:val="16"/>
      <w:szCs w:val="16"/>
    </w:rPr>
  </w:style>
  <w:style w:type="character" w:styleId="Textoennegrita">
    <w:name w:val="Strong"/>
    <w:basedOn w:val="Fuentedeprrafopredeter"/>
    <w:uiPriority w:val="22"/>
    <w:qFormat/>
    <w:rsid w:val="006A3772"/>
    <w:rPr>
      <w:b/>
      <w:bCs/>
    </w:rPr>
  </w:style>
  <w:style w:type="paragraph" w:styleId="Textonotapie">
    <w:name w:val="footnote text"/>
    <w:basedOn w:val="Normal"/>
    <w:link w:val="TextonotapieCar"/>
    <w:uiPriority w:val="99"/>
    <w:semiHidden/>
    <w:unhideWhenUsed/>
    <w:rsid w:val="00CB457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B4579"/>
    <w:rPr>
      <w:sz w:val="20"/>
      <w:szCs w:val="20"/>
    </w:rPr>
  </w:style>
  <w:style w:type="character" w:styleId="Refdenotaalpie">
    <w:name w:val="footnote reference"/>
    <w:basedOn w:val="Fuentedeprrafopredeter"/>
    <w:uiPriority w:val="99"/>
    <w:semiHidden/>
    <w:unhideWhenUsed/>
    <w:rsid w:val="00CB4579"/>
    <w:rPr>
      <w:vertAlign w:val="superscript"/>
    </w:rPr>
  </w:style>
  <w:style w:type="character" w:styleId="Hipervnculo">
    <w:name w:val="Hyperlink"/>
    <w:basedOn w:val="Fuentedeprrafopredeter"/>
    <w:uiPriority w:val="99"/>
    <w:semiHidden/>
    <w:unhideWhenUsed/>
    <w:rsid w:val="00CB4579"/>
    <w:rPr>
      <w:color w:val="0000FF"/>
      <w:u w:val="single"/>
    </w:rPr>
  </w:style>
</w:styles>
</file>

<file path=word/webSettings.xml><?xml version="1.0" encoding="utf-8"?>
<w:webSettings xmlns:r="http://schemas.openxmlformats.org/officeDocument/2006/relationships" xmlns:w="http://schemas.openxmlformats.org/wordprocessingml/2006/main">
  <w:divs>
    <w:div w:id="1040663980">
      <w:bodyDiv w:val="1"/>
      <w:marLeft w:val="0"/>
      <w:marRight w:val="0"/>
      <w:marTop w:val="0"/>
      <w:marBottom w:val="0"/>
      <w:divBdr>
        <w:top w:val="none" w:sz="0" w:space="0" w:color="auto"/>
        <w:left w:val="none" w:sz="0" w:space="0" w:color="auto"/>
        <w:bottom w:val="none" w:sz="0" w:space="0" w:color="auto"/>
        <w:right w:val="none" w:sz="0" w:space="0" w:color="auto"/>
      </w:divBdr>
    </w:div>
    <w:div w:id="1390300068">
      <w:bodyDiv w:val="1"/>
      <w:marLeft w:val="0"/>
      <w:marRight w:val="0"/>
      <w:marTop w:val="0"/>
      <w:marBottom w:val="0"/>
      <w:divBdr>
        <w:top w:val="none" w:sz="0" w:space="0" w:color="auto"/>
        <w:left w:val="none" w:sz="0" w:space="0" w:color="auto"/>
        <w:bottom w:val="none" w:sz="0" w:space="0" w:color="auto"/>
        <w:right w:val="none" w:sz="0" w:space="0" w:color="auto"/>
      </w:divBdr>
    </w:div>
    <w:div w:id="1460293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s>
</file>

<file path=word/_rels/footnotes.xml.rels><?xml version="1.0" encoding="UTF-8" standalone="yes"?>
<Relationships xmlns="http://schemas.openxmlformats.org/package/2006/relationships"><Relationship Id="rId1" Type="http://schemas.openxmlformats.org/officeDocument/2006/relationships/hyperlink" Target="http://www.youtube.com/watch?v=q5oWehKI-gQ&amp;feature=related"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AD9F5E34-0D49-4A52-B89E-C2659EB47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479</Words>
  <Characters>2637</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Alvaro Grisales A.</dc:creator>
  <cp:lastModifiedBy>usuario</cp:lastModifiedBy>
  <cp:revision>3</cp:revision>
  <dcterms:created xsi:type="dcterms:W3CDTF">2011-10-15T14:33:00Z</dcterms:created>
  <dcterms:modified xsi:type="dcterms:W3CDTF">2011-10-15T14:49:00Z</dcterms:modified>
</cp:coreProperties>
</file>